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F187" w14:textId="5991D040" w:rsidR="00E5758F" w:rsidRDefault="00E5758F" w:rsidP="00E5758F">
      <w:pPr>
        <w:spacing w:before="0" w:after="160" w:line="259" w:lineRule="auto"/>
        <w:jc w:val="right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2. </w:t>
      </w:r>
      <w:r w:rsidR="00591864">
        <w:rPr>
          <w:rFonts w:ascii="Calibri" w:eastAsia="Calibri" w:hAnsi="Calibri" w:cs="Times New Roman"/>
          <w:b/>
          <w:bCs/>
        </w:rPr>
        <w:t xml:space="preserve">sz. </w:t>
      </w:r>
      <w:r>
        <w:rPr>
          <w:rFonts w:ascii="Calibri" w:eastAsia="Calibri" w:hAnsi="Calibri" w:cs="Times New Roman"/>
          <w:b/>
          <w:bCs/>
        </w:rPr>
        <w:t>melléklet</w:t>
      </w:r>
    </w:p>
    <w:p w14:paraId="25744EF9" w14:textId="77777777" w:rsidR="00E5758F" w:rsidRDefault="00E5758F" w:rsidP="00614005">
      <w:pPr>
        <w:spacing w:before="0" w:after="160" w:line="259" w:lineRule="auto"/>
        <w:jc w:val="center"/>
        <w:rPr>
          <w:rFonts w:ascii="Calibri" w:eastAsia="Calibri" w:hAnsi="Calibri" w:cs="Times New Roman"/>
          <w:b/>
          <w:bCs/>
        </w:rPr>
      </w:pPr>
    </w:p>
    <w:p w14:paraId="26DBB24A" w14:textId="2A4EA09C" w:rsidR="00614005" w:rsidRPr="00956CF0" w:rsidRDefault="00614005" w:rsidP="00614005">
      <w:pPr>
        <w:spacing w:before="0"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956CF0">
        <w:rPr>
          <w:rFonts w:ascii="Calibri" w:eastAsia="Calibri" w:hAnsi="Calibri" w:cs="Times New Roman"/>
          <w:b/>
          <w:bCs/>
          <w:sz w:val="24"/>
          <w:szCs w:val="24"/>
        </w:rPr>
        <w:t>Adatkezelési terv</w:t>
      </w:r>
    </w:p>
    <w:p w14:paraId="555394F4" w14:textId="77777777" w:rsidR="00614005" w:rsidRPr="00614005" w:rsidRDefault="00614005" w:rsidP="00614005">
      <w:pPr>
        <w:spacing w:before="0" w:after="160" w:line="259" w:lineRule="auto"/>
        <w:jc w:val="center"/>
        <w:rPr>
          <w:rFonts w:ascii="Calibri" w:eastAsia="Calibri" w:hAnsi="Calibri" w:cs="Times New Roman"/>
          <w:b/>
          <w:bCs/>
          <w:i/>
        </w:rPr>
      </w:pPr>
      <w:r w:rsidRPr="00614005">
        <w:rPr>
          <w:rFonts w:ascii="Calibri" w:eastAsia="Calibri" w:hAnsi="Calibri" w:cs="Times New Roman"/>
          <w:b/>
          <w:bCs/>
          <w:i/>
        </w:rPr>
        <w:t>a</w:t>
      </w:r>
      <w:r w:rsidRPr="00614005">
        <w:rPr>
          <w:rFonts w:ascii="Calibri" w:eastAsia="Calibri" w:hAnsi="Calibri" w:cs="Times New Roman"/>
          <w:b/>
          <w:bCs/>
        </w:rPr>
        <w:t xml:space="preserve"> </w:t>
      </w:r>
      <w:r w:rsidRPr="00614005">
        <w:rPr>
          <w:rFonts w:ascii="Calibri" w:eastAsia="Calibri" w:hAnsi="Calibri" w:cs="Times New Roman"/>
          <w:b/>
          <w:bCs/>
          <w:i/>
        </w:rPr>
        <w:t>[kutatás címe]</w:t>
      </w:r>
    </w:p>
    <w:p w14:paraId="028626D7" w14:textId="77777777" w:rsidR="00614005" w:rsidRPr="00614005" w:rsidRDefault="00614005" w:rsidP="00614005">
      <w:pPr>
        <w:spacing w:before="0"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című kutatáshoz</w:t>
      </w:r>
    </w:p>
    <w:p w14:paraId="6F8CC38B" w14:textId="77777777" w:rsidR="00614005" w:rsidRPr="00614005" w:rsidRDefault="00614005" w:rsidP="00614005">
      <w:pPr>
        <w:spacing w:before="0" w:after="160" w:line="259" w:lineRule="auto"/>
        <w:jc w:val="center"/>
        <w:rPr>
          <w:rFonts w:ascii="Calibri" w:eastAsia="Calibri" w:hAnsi="Calibri" w:cs="Times New Roman"/>
          <w:b/>
          <w:bCs/>
          <w:i/>
          <w:iCs/>
        </w:rPr>
      </w:pPr>
      <w:r w:rsidRPr="00614005">
        <w:rPr>
          <w:rFonts w:ascii="Calibri" w:eastAsia="Calibri" w:hAnsi="Calibri" w:cs="Times New Roman"/>
          <w:b/>
          <w:bCs/>
          <w:i/>
          <w:iCs/>
        </w:rPr>
        <w:t>[a kutatás azonosítószáma]</w:t>
      </w:r>
    </w:p>
    <w:p w14:paraId="0636A99B" w14:textId="77777777" w:rsidR="00614005" w:rsidRPr="00614005" w:rsidRDefault="00614005" w:rsidP="00614005">
      <w:pPr>
        <w:numPr>
          <w:ilvl w:val="0"/>
          <w:numId w:val="3"/>
        </w:numPr>
        <w:spacing w:before="0" w:after="160" w:line="259" w:lineRule="auto"/>
        <w:contextualSpacing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Személyes adatok védelme</w:t>
      </w:r>
    </w:p>
    <w:p w14:paraId="7A155E52" w14:textId="301965A4" w:rsidR="00614005" w:rsidRPr="00B46981" w:rsidRDefault="00614005" w:rsidP="002C0487">
      <w:pPr>
        <w:pStyle w:val="Listaszerbekezds"/>
        <w:numPr>
          <w:ilvl w:val="0"/>
          <w:numId w:val="5"/>
        </w:numPr>
        <w:spacing w:before="0" w:line="259" w:lineRule="auto"/>
        <w:ind w:left="360"/>
        <w:jc w:val="left"/>
        <w:rPr>
          <w:rFonts w:ascii="Calibri" w:eastAsia="Calibri" w:hAnsi="Calibri" w:cs="Times New Roman"/>
          <w:b/>
          <w:bCs/>
        </w:rPr>
      </w:pPr>
      <w:r w:rsidRPr="00B46981">
        <w:rPr>
          <w:rFonts w:ascii="Calibri" w:eastAsia="Calibri" w:hAnsi="Calibri" w:cs="Times New Roman"/>
          <w:b/>
          <w:bCs/>
        </w:rPr>
        <w:t>Vonatkozó törvények, dokumentumok és definíciók</w:t>
      </w:r>
    </w:p>
    <w:p w14:paraId="20D066C7" w14:textId="0BBC42EB" w:rsidR="00614005" w:rsidRDefault="00614005" w:rsidP="002C048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0" w:line="240" w:lineRule="auto"/>
        <w:ind w:left="360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AZ EURÓPAI PARLAMENT ÉS A TANÁCS (EU) 2016/679 RENDELETE (2016. április 27.) a természetes személyeknek a személyes adatok kezelése tekintetében történő védelméről és az ilyen adatok szabad áramlásáról, valamint a 95/46/EK irányelv hatályon kívül helyezéséről (általános adatvédelmi rendelet, G</w:t>
      </w:r>
      <w:r w:rsidR="00A8453E">
        <w:rPr>
          <w:rFonts w:ascii="Calibri" w:eastAsia="Calibri" w:hAnsi="Calibri" w:cs="Times New Roman"/>
        </w:rPr>
        <w:t>DPR</w:t>
      </w:r>
      <w:r w:rsidRPr="00614005">
        <w:rPr>
          <w:rFonts w:ascii="Calibri" w:eastAsia="Calibri" w:hAnsi="Calibri" w:cs="Times New Roman"/>
        </w:rPr>
        <w:t>)</w:t>
      </w:r>
    </w:p>
    <w:p w14:paraId="38856567" w14:textId="11B16DA7" w:rsidR="00E5758F" w:rsidRPr="00614005" w:rsidRDefault="00E5758F" w:rsidP="002C048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0" w:line="240" w:lineRule="auto"/>
        <w:ind w:left="360"/>
        <w:jc w:val="left"/>
        <w:rPr>
          <w:rFonts w:ascii="Calibri" w:eastAsia="Calibri" w:hAnsi="Calibri" w:cs="Times New Roman"/>
        </w:rPr>
      </w:pPr>
      <w:r w:rsidRPr="00E5758F">
        <w:rPr>
          <w:rFonts w:ascii="Calibri" w:eastAsia="Calibri" w:hAnsi="Calibri" w:cs="Times New Roman"/>
        </w:rPr>
        <w:t>az információs önrendelkezési jogról és az információszabadságról szóló 2011. évi CXII. törvény</w:t>
      </w:r>
    </w:p>
    <w:p w14:paraId="7603A4D9" w14:textId="77777777" w:rsidR="00614005" w:rsidRPr="00614005" w:rsidRDefault="00614005" w:rsidP="002C048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0" w:line="240" w:lineRule="auto"/>
        <w:ind w:left="360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1995. évi CXIX. törvény a kutatás és a közvetlen üzletszerzés célját szolgáló név- és lakcímadatok kezeléséről (Aktv.)</w:t>
      </w:r>
    </w:p>
    <w:p w14:paraId="04D820C2" w14:textId="77777777" w:rsidR="00614005" w:rsidRPr="00614005" w:rsidRDefault="00614005" w:rsidP="002C048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0" w:line="240" w:lineRule="auto"/>
        <w:ind w:left="360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2013. évi V. törvény a Polgári Törvénykönyvről (Ptk.)</w:t>
      </w:r>
    </w:p>
    <w:p w14:paraId="726D52C5" w14:textId="77777777" w:rsidR="00614005" w:rsidRPr="00614005" w:rsidRDefault="00614005" w:rsidP="002C048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0" w:line="240" w:lineRule="auto"/>
        <w:ind w:left="360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2014. évi LXXVI. törvény a tudományos kutatásról, fejlesztésről és innovációról (Innovációs tv.)</w:t>
      </w:r>
    </w:p>
    <w:p w14:paraId="670D346B" w14:textId="77777777" w:rsidR="00614005" w:rsidRPr="00614005" w:rsidRDefault="00614005" w:rsidP="002C048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0" w:line="240" w:lineRule="auto"/>
        <w:ind w:left="360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2011. évi CCIV. törvény a nemzeti felsőoktatásról (Nftv.)</w:t>
      </w:r>
    </w:p>
    <w:p w14:paraId="00A0D999" w14:textId="77777777" w:rsidR="00614005" w:rsidRPr="00614005" w:rsidRDefault="00614005" w:rsidP="002C0487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suppressAutoHyphens/>
        <w:spacing w:before="0" w:after="160" w:line="240" w:lineRule="auto"/>
        <w:ind w:left="360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2012. évi C. törvény a Büntető Törvénykönyvről (Btk.)</w:t>
      </w:r>
    </w:p>
    <w:p w14:paraId="63DF2C38" w14:textId="77777777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  <w:color w:val="000000"/>
          <w:shd w:val="clear" w:color="auto" w:fill="FFFFFF"/>
        </w:rPr>
      </w:pPr>
      <w:r w:rsidRPr="00614005">
        <w:rPr>
          <w:rFonts w:ascii="Calibri" w:eastAsia="Calibri" w:hAnsi="Calibri" w:cs="Times New Roman"/>
          <w:i/>
        </w:rPr>
        <w:t>személyes adat:</w:t>
      </w:r>
      <w:r w:rsidRPr="00614005">
        <w:rPr>
          <w:rFonts w:ascii="Calibri" w:eastAsia="Calibri" w:hAnsi="Calibri" w:cs="Times New Roman"/>
        </w:rPr>
        <w:t xml:space="preserve"> </w:t>
      </w:r>
      <w:r w:rsidRPr="00614005">
        <w:rPr>
          <w:rFonts w:ascii="Calibri" w:eastAsia="Calibri" w:hAnsi="Calibri" w:cs="Times New Roman"/>
          <w:color w:val="000000"/>
          <w:shd w:val="clear" w:color="auto" w:fill="FFFFFF"/>
        </w:rPr>
        <w:t>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azonosítható. (GDPR 4. cikk)</w:t>
      </w:r>
    </w:p>
    <w:p w14:paraId="03B04BB8" w14:textId="77777777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ahoma"/>
          <w:i/>
          <w:iCs/>
          <w:color w:val="222222"/>
        </w:rPr>
        <w:t xml:space="preserve">különleges adat: </w:t>
      </w:r>
      <w:r w:rsidRPr="00614005">
        <w:rPr>
          <w:rFonts w:ascii="Calibri" w:eastAsia="Calibri" w:hAnsi="Calibri" w:cs="Times New Roman"/>
        </w:rPr>
        <w:t>A faji vagy etnikai származásra, politikai véleményre, vallási vagy világnézeti meggyőződésre vagy szakszervezeti tagságra utaló személyes adatok, valamint a természetes személyek egyedi azonosítását célzó genetikai és biometrikus adatok, az egészségügyi adatok és a természetes személyek szexuális életére vagy szexuális irányultságára vonatkozó személyes adatok (GDPR 9. cikk)</w:t>
      </w:r>
      <w:bookmarkStart w:id="0" w:name="pr19"/>
      <w:bookmarkStart w:id="1" w:name="pr20"/>
      <w:bookmarkEnd w:id="0"/>
      <w:bookmarkEnd w:id="1"/>
    </w:p>
    <w:p w14:paraId="1D55907C" w14:textId="77777777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</w:rPr>
      </w:pPr>
      <w:r w:rsidRPr="00614005">
        <w:rPr>
          <w:rFonts w:ascii="Calibri" w:eastAsia="DejaVu Sans" w:hAnsi="Calibri" w:cs="DejaVu Sans"/>
          <w:i/>
          <w:kern w:val="1"/>
          <w:lang w:eastAsia="hi-IN" w:bidi="hi-IN"/>
        </w:rPr>
        <w:t>hozzájárulás:</w:t>
      </w:r>
      <w:r w:rsidRPr="00614005">
        <w:rPr>
          <w:rFonts w:ascii="Calibri" w:eastAsia="DejaVu Sans" w:hAnsi="Calibri" w:cs="DejaVu Sans"/>
          <w:kern w:val="1"/>
          <w:lang w:eastAsia="hi-IN" w:bidi="hi-IN"/>
        </w:rPr>
        <w:t xml:space="preserve"> </w:t>
      </w:r>
      <w:r w:rsidRPr="00614005">
        <w:rPr>
          <w:rFonts w:ascii="Calibri" w:eastAsia="Calibri" w:hAnsi="Calibri" w:cs="Times New Roman"/>
        </w:rPr>
        <w:t>az érintett akaratának önkéntes, konkrét és megfelelő tájékoztatáson alapuló és egyértelmű kinyilvánítása, amellyel az érintett nyilatkozat vagy a megerősítést félreérthetetlenül kifejező cselekedet útján jelzi, hogy beleegyezését adja az őt érintő személyes adatok kezeléséhez (GDPR 4. cikk. 11.)</w:t>
      </w:r>
    </w:p>
    <w:p w14:paraId="7694B930" w14:textId="77777777" w:rsidR="00614005" w:rsidRPr="00614005" w:rsidRDefault="00614005" w:rsidP="0007315C">
      <w:pPr>
        <w:spacing w:before="0" w:after="160" w:line="259" w:lineRule="auto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  <w:i/>
          <w:iCs/>
        </w:rPr>
        <w:t>kutatás résztvevője:</w:t>
      </w:r>
      <w:r w:rsidRPr="00614005">
        <w:rPr>
          <w:rFonts w:ascii="Calibri" w:eastAsia="Calibri" w:hAnsi="Calibri" w:cs="Times New Roman"/>
        </w:rPr>
        <w:t xml:space="preserve"> azon személy, akit a kutatás közvetlenül vagy közvetve érint, akinek a megfigyelésére vagy akivel kapcsolatos adatok gyűjtésére a kutatás kapcsán sor kerül.</w:t>
      </w:r>
    </w:p>
    <w:p w14:paraId="429165F7" w14:textId="77777777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  <w:i/>
          <w:iCs/>
        </w:rPr>
        <w:t xml:space="preserve">kutatásvezető: </w:t>
      </w:r>
      <w:r w:rsidRPr="00614005">
        <w:rPr>
          <w:rFonts w:ascii="Calibri" w:eastAsia="Calibri" w:hAnsi="Calibri" w:cs="Times New Roman"/>
        </w:rPr>
        <w:t>egy dokumentált kutatási projekt alapján meghatározott, az adott projektre vonatkozóan vezető és felelős szerepkörrel felruházott minősített (doktori fokozattal rendelkező) kutató. Amennyiben egyéni kutatást nem minősített kutató végez, a kutatás mellé a tanszékvezető minősített (doktori fokozattal rendelkező) szupervizort jelöl ki, aki egyetemlegesen felel a kutatásért.</w:t>
      </w:r>
    </w:p>
    <w:p w14:paraId="5F019490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  <w:i/>
        </w:rPr>
        <w:t>a kutatás közreműködője</w:t>
      </w:r>
      <w:r w:rsidRPr="00614005">
        <w:rPr>
          <w:rFonts w:ascii="Calibri" w:eastAsia="Calibri" w:hAnsi="Calibri" w:cs="Times New Roman"/>
        </w:rPr>
        <w:t>: az a természetes személy, aki a kutatás lebonyolításában a kutatásvezető irányítása alatt részt vesz.</w:t>
      </w:r>
    </w:p>
    <w:p w14:paraId="5AAD3E5D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lastRenderedPageBreak/>
        <w:t xml:space="preserve">Az alábbi adatkezelési terv a hivatkozott dokumentumok </w:t>
      </w:r>
      <w:r w:rsidRPr="00614005">
        <w:rPr>
          <w:rFonts w:ascii="Calibri" w:eastAsia="Calibri" w:hAnsi="Calibri" w:cs="Times New Roman"/>
          <w:i/>
          <w:iCs/>
        </w:rPr>
        <w:t>[dokumentum elkészültének dátuma]</w:t>
      </w:r>
      <w:r w:rsidRPr="00614005">
        <w:rPr>
          <w:rFonts w:ascii="Calibri" w:eastAsia="Calibri" w:hAnsi="Calibri" w:cs="Times New Roman"/>
        </w:rPr>
        <w:t>-n hatályos szövege alapján és azok figyelembevételével készült.</w:t>
      </w:r>
    </w:p>
    <w:p w14:paraId="433E5EC3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2. Kutatási jogosultság</w:t>
      </w:r>
    </w:p>
    <w:p w14:paraId="4AC624AC" w14:textId="4189F548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</w:rPr>
      </w:pPr>
      <w:r w:rsidRPr="00614005">
        <w:rPr>
          <w:rFonts w:ascii="Calibri" w:eastAsia="Calibri" w:hAnsi="Calibri" w:cs="Times New Roman"/>
        </w:rPr>
        <w:t>A</w:t>
      </w:r>
      <w:r w:rsidR="00E5758F">
        <w:rPr>
          <w:rFonts w:ascii="Calibri" w:eastAsia="Calibri" w:hAnsi="Calibri" w:cs="Times New Roman"/>
        </w:rPr>
        <w:t xml:space="preserve"> Károli Gáspár Református Egyetem</w:t>
      </w:r>
      <w:r w:rsidRPr="00614005">
        <w:rPr>
          <w:rFonts w:ascii="Calibri" w:eastAsia="Calibri" w:hAnsi="Calibri" w:cs="Times New Roman"/>
        </w:rPr>
        <w:t xml:space="preserve"> (továbbiakban</w:t>
      </w:r>
      <w:r w:rsidR="00E5758F">
        <w:rPr>
          <w:rFonts w:ascii="Calibri" w:eastAsia="Calibri" w:hAnsi="Calibri" w:cs="Times New Roman"/>
        </w:rPr>
        <w:t>: KRE</w:t>
      </w:r>
      <w:r w:rsidRPr="00614005">
        <w:rPr>
          <w:rFonts w:ascii="Calibri" w:eastAsia="Calibri" w:hAnsi="Calibri" w:cs="Times New Roman"/>
        </w:rPr>
        <w:t xml:space="preserve">) mint felsőoktatási intézmény az Nftv. 2. § (1) alapján egyebek között tudományos kutatás céljából mint alaptevékenység folytatására létesített szervezet, mely célt az </w:t>
      </w:r>
      <w:r w:rsidR="00E5758F">
        <w:rPr>
          <w:rFonts w:ascii="Calibri" w:eastAsia="Calibri" w:hAnsi="Calibri" w:cs="Times New Roman"/>
        </w:rPr>
        <w:t>KR</w:t>
      </w:r>
      <w:r w:rsidRPr="00614005">
        <w:rPr>
          <w:rFonts w:ascii="Calibri" w:eastAsia="Calibri" w:hAnsi="Calibri" w:cs="Times New Roman"/>
        </w:rPr>
        <w:t xml:space="preserve">E alapító okirata az Nftv-vel összhangban rögzít. A kutatással kapcsolatos önálló felelősséget a </w:t>
      </w:r>
      <w:r w:rsidRPr="00614005">
        <w:rPr>
          <w:rFonts w:ascii="Calibri" w:eastAsia="Calibri" w:hAnsi="Calibri" w:cs="Times New Roman"/>
          <w:b/>
          <w:bCs/>
        </w:rPr>
        <w:t>[</w:t>
      </w:r>
      <w:r w:rsidRPr="00614005">
        <w:rPr>
          <w:rFonts w:ascii="Calibri" w:eastAsia="Calibri" w:hAnsi="Calibri" w:cs="Times New Roman"/>
          <w:b/>
          <w:bCs/>
          <w:i/>
          <w:iCs/>
        </w:rPr>
        <w:t>kutatás / kutatócsoport</w:t>
      </w:r>
      <w:r w:rsidRPr="00614005">
        <w:rPr>
          <w:rFonts w:ascii="Calibri" w:eastAsia="Calibri" w:hAnsi="Calibri" w:cs="Times New Roman"/>
          <w:b/>
          <w:bCs/>
        </w:rPr>
        <w:t>]</w:t>
      </w:r>
      <w:r w:rsidRPr="00614005">
        <w:rPr>
          <w:rFonts w:ascii="Calibri" w:eastAsia="Calibri" w:hAnsi="Calibri" w:cs="Times New Roman"/>
        </w:rPr>
        <w:t xml:space="preserve"> vezetője vállalja.</w:t>
      </w:r>
    </w:p>
    <w:p w14:paraId="2E79BF6A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smartTag w:uri="urn:schemas-microsoft-com:office:smarttags" w:element="metricconverter">
        <w:smartTagPr>
          <w:attr w:name="ProductID" w:val="3. A"/>
        </w:smartTagPr>
        <w:r w:rsidRPr="00614005">
          <w:rPr>
            <w:rFonts w:ascii="Calibri" w:eastAsia="Calibri" w:hAnsi="Calibri" w:cs="Times New Roman"/>
            <w:b/>
            <w:bCs/>
          </w:rPr>
          <w:t>3. A</w:t>
        </w:r>
      </w:smartTag>
      <w:r w:rsidRPr="00614005">
        <w:rPr>
          <w:rFonts w:ascii="Calibri" w:eastAsia="Calibri" w:hAnsi="Calibri" w:cs="Times New Roman"/>
          <w:b/>
          <w:bCs/>
        </w:rPr>
        <w:t xml:space="preserve"> kutatás célja</w:t>
      </w:r>
    </w:p>
    <w:p w14:paraId="0FB112B0" w14:textId="14B7B95D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[a kutatás céljának rövid</w:t>
      </w:r>
      <w:r w:rsidR="0007315C">
        <w:rPr>
          <w:rFonts w:ascii="Calibri" w:eastAsia="Calibri" w:hAnsi="Calibri" w:cs="Times New Roman"/>
          <w:i/>
          <w:iCs/>
        </w:rPr>
        <w:t>,</w:t>
      </w:r>
      <w:r w:rsidRPr="00614005">
        <w:rPr>
          <w:rFonts w:ascii="Calibri" w:eastAsia="Calibri" w:hAnsi="Calibri" w:cs="Times New Roman"/>
          <w:i/>
          <w:iCs/>
        </w:rPr>
        <w:t xml:space="preserve"> közérthető, szabatos leírása]</w:t>
      </w:r>
    </w:p>
    <w:p w14:paraId="1726A0DD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smartTag w:uri="urn:schemas-microsoft-com:office:smarttags" w:element="metricconverter">
        <w:smartTagPr>
          <w:attr w:name="ProductID" w:val="4. A"/>
        </w:smartTagPr>
        <w:r w:rsidRPr="00614005">
          <w:rPr>
            <w:rFonts w:ascii="Calibri" w:eastAsia="Calibri" w:hAnsi="Calibri" w:cs="Times New Roman"/>
            <w:b/>
            <w:bCs/>
          </w:rPr>
          <w:t>4. A</w:t>
        </w:r>
      </w:smartTag>
      <w:r w:rsidRPr="00614005">
        <w:rPr>
          <w:rFonts w:ascii="Calibri" w:eastAsia="Calibri" w:hAnsi="Calibri" w:cs="Times New Roman"/>
          <w:b/>
          <w:bCs/>
        </w:rPr>
        <w:t xml:space="preserve"> kezelendő személyes adatok köre és azok forrása</w:t>
      </w:r>
    </w:p>
    <w:p w14:paraId="3FF5F73B" w14:textId="77777777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[a kezelendő személyes adatok pontos, célra törő bemutatása, beleértve azok forrásának megjelölését]</w:t>
      </w:r>
    </w:p>
    <w:p w14:paraId="5A1A6E12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5. Felelősség tisztázása</w:t>
      </w:r>
    </w:p>
    <w:p w14:paraId="42FD87FF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[írja le, hogy ki vállal felelősséget az adatok kezeléséért a teljes adatciklus során, itt fel kell tüntetni a felelős elérhetőségét is]</w:t>
      </w:r>
    </w:p>
    <w:p w14:paraId="13572B37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6. A kutatás lépései és a személyes adatok kezelésének folyamata</w:t>
      </w:r>
    </w:p>
    <w:p w14:paraId="12218DD6" w14:textId="77777777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[a kutatás lépéseinek és a személyes adatok kezelésének részletes leírása a személyes adatok gyűjtésétől annak megsemmisítéséig, beleértve a személyes adatok tárolását is; minden esetben szükséges rögzíteni a személyes adatok végleges megsemmisítésének időpontját is; itt ki kell térni a kutatásba bevont összes személy személyes – tehát a résztvevők és a közreműködők – adatainak kezelésére is, valamint arra is, hogy akik a személyes adatokat gyűjtik, végeznek-e vele és ha igen, milyen műveletet, a kutatási folyamat mely pontján adják át az adatokat a kutatásvezetőnek – nem kell kitérni ebben a részben az anonimizált kutatási adatokra]</w:t>
      </w:r>
    </w:p>
    <w:p w14:paraId="2C4B0EB4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7. Az érintett jogai gyakorlati érvényesíthetőségének biztosítékai</w:t>
      </w:r>
    </w:p>
    <w:p w14:paraId="567FDF90" w14:textId="77777777" w:rsidR="00614005" w:rsidRPr="00614005" w:rsidRDefault="00614005" w:rsidP="00614005">
      <w:pPr>
        <w:spacing w:before="0" w:after="160" w:line="259" w:lineRule="auto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[ebben a fejezetben kell ismertetni a személyes adatok érintettjeinek jogérvényesítési lehetőségeit biztosító intézkedéseket, így különösen, de nem kizárólag a tájékozott beleegyezéshez, a korábban adott hozzájárulás visszavonásához, az adatok pontosításához, a tárolt adatok megismeréséhez, valamint az adatvédelmi incidens kapcsán történő tájékoztatáshoz fűződő jogok gyakorlásának biztosításához tett intézkedéseket, pl.: tájékoztatás módja, biztosított csatornák, felelős személyek, eljárásrendek]</w:t>
      </w:r>
    </w:p>
    <w:p w14:paraId="02B07ECB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8. Az adatvédelmet biztosító technikai és szervezési intézkedések</w:t>
      </w:r>
    </w:p>
    <w:p w14:paraId="47FCDF4D" w14:textId="564FB992" w:rsidR="00614005" w:rsidRDefault="00614005" w:rsidP="0007315C">
      <w:pPr>
        <w:spacing w:before="0" w:after="160" w:line="259" w:lineRule="auto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[itt kell ismertetni, hogy milyen módon biztosított a kutatás során a személyes adatok védelme, így például, de nem kizárólag kik férhetnek hozzá a személyes adatokhoz, a hozzáférést hogyan dokumentálják, milyen nyilatkozatot tesznek ezek a személyek, milyen informatikai és egyéb védelmi intézkedések történnek a személyes adatok illetéktelen kézbe kerülésének megakadályozása érdekében, milyen álnevesítési (pszeudonimizációs)</w:t>
      </w:r>
      <w:r w:rsidR="0007315C">
        <w:rPr>
          <w:rFonts w:ascii="Calibri" w:eastAsia="Calibri" w:hAnsi="Calibri" w:cs="Times New Roman"/>
          <w:i/>
          <w:iCs/>
        </w:rPr>
        <w:t xml:space="preserve"> </w:t>
      </w:r>
      <w:r w:rsidRPr="00614005">
        <w:rPr>
          <w:rFonts w:ascii="Calibri" w:eastAsia="Calibri" w:hAnsi="Calibri" w:cs="Times New Roman"/>
          <w:i/>
          <w:iCs/>
        </w:rPr>
        <w:t>vagy anonimizációs eljárások kerülnek alkalmazásra</w:t>
      </w:r>
      <w:r w:rsidR="0007315C">
        <w:rPr>
          <w:rFonts w:ascii="Calibri" w:eastAsia="Calibri" w:hAnsi="Calibri" w:cs="Times New Roman"/>
          <w:i/>
          <w:iCs/>
        </w:rPr>
        <w:t>,</w:t>
      </w:r>
      <w:r w:rsidRPr="00614005">
        <w:rPr>
          <w:rFonts w:ascii="Calibri" w:eastAsia="Calibri" w:hAnsi="Calibri" w:cs="Times New Roman"/>
          <w:i/>
          <w:iCs/>
        </w:rPr>
        <w:t xml:space="preserve"> stb.]</w:t>
      </w:r>
    </w:p>
    <w:p w14:paraId="4EFC00A8" w14:textId="77777777" w:rsidR="00226F22" w:rsidRPr="00614005" w:rsidRDefault="00226F22" w:rsidP="0007315C">
      <w:pPr>
        <w:spacing w:before="0" w:after="160" w:line="259" w:lineRule="auto"/>
        <w:rPr>
          <w:rFonts w:ascii="Calibri" w:eastAsia="Calibri" w:hAnsi="Calibri" w:cs="Times New Roman"/>
          <w:i/>
          <w:iCs/>
        </w:rPr>
      </w:pPr>
    </w:p>
    <w:p w14:paraId="4B0F7799" w14:textId="662B7CC7" w:rsidR="00614005" w:rsidRPr="002C0487" w:rsidRDefault="00614005" w:rsidP="002C0487">
      <w:pPr>
        <w:pStyle w:val="Listaszerbekezds"/>
        <w:pageBreakBefore/>
        <w:numPr>
          <w:ilvl w:val="0"/>
          <w:numId w:val="3"/>
        </w:num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2C0487">
        <w:rPr>
          <w:rFonts w:ascii="Calibri" w:eastAsia="Calibri" w:hAnsi="Calibri" w:cs="Times New Roman"/>
          <w:i/>
          <w:iCs/>
        </w:rPr>
        <w:lastRenderedPageBreak/>
        <w:t>Kutatási adatok nyilvánossága</w:t>
      </w:r>
    </w:p>
    <w:p w14:paraId="2B6C0545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9. A kutatási adatok leírása</w:t>
      </w:r>
    </w:p>
    <w:p w14:paraId="6A12F5FD" w14:textId="553FCDB0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[itt ismertesse, hogy milyen tudományos értékű adatok kerülnek felvételre vagy gyűjtésre; az adat fogalmát értelmezze széleskörűen, kiterjesztve a kvantitatív adatok mellett a kvalitatív kutatások adataira, de akár fényképekre, filmfelvéte</w:t>
      </w:r>
      <w:r w:rsidR="0007315C">
        <w:rPr>
          <w:rFonts w:ascii="Calibri" w:eastAsia="Calibri" w:hAnsi="Calibri" w:cs="Times New Roman"/>
          <w:i/>
          <w:iCs/>
        </w:rPr>
        <w:t>le</w:t>
      </w:r>
      <w:r w:rsidRPr="00614005">
        <w:rPr>
          <w:rFonts w:ascii="Calibri" w:eastAsia="Calibri" w:hAnsi="Calibri" w:cs="Times New Roman"/>
          <w:i/>
          <w:iCs/>
        </w:rPr>
        <w:t>kre</w:t>
      </w:r>
      <w:r w:rsidR="0007315C">
        <w:rPr>
          <w:rFonts w:ascii="Calibri" w:eastAsia="Calibri" w:hAnsi="Calibri" w:cs="Times New Roman"/>
          <w:i/>
          <w:iCs/>
        </w:rPr>
        <w:t>,</w:t>
      </w:r>
      <w:r w:rsidRPr="00614005">
        <w:rPr>
          <w:rFonts w:ascii="Calibri" w:eastAsia="Calibri" w:hAnsi="Calibri" w:cs="Times New Roman"/>
          <w:i/>
          <w:iCs/>
        </w:rPr>
        <w:t xml:space="preserve"> valamint internetről gyűjtött adatokra is]</w:t>
      </w:r>
    </w:p>
    <w:p w14:paraId="7473E783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10. Az elérhető adatok bemutatása</w:t>
      </w:r>
    </w:p>
    <w:p w14:paraId="1D858F6B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[közöljön áttekintést a kutatási témában már elérhető adatokról és arról, hogy azok miért nem alkalmasak a kutatási kérdés megválaszolására; ez világossá teszi a tervezett kutatás értékét, az adatgyűjtés szükségességét]</w:t>
      </w:r>
    </w:p>
    <w:p w14:paraId="27DBB50B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11. Az adatok formátuma</w:t>
      </w:r>
    </w:p>
    <w:p w14:paraId="32BD312D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[itt ismertesse, hogy milyen formátumú adatok kerülnek leadásra, terjesztésre, illetve archiválásra]</w:t>
      </w:r>
    </w:p>
    <w:p w14:paraId="1F145E72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12. Metaadatok</w:t>
      </w:r>
    </w:p>
    <w:p w14:paraId="6B77FFBF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[itt foglalja össze, hogy a létrehozott adatok mellett milyen metaadatokat biztosít, amellyel segíti az adatokhoz hozzáférők pontos megértését]</w:t>
      </w:r>
    </w:p>
    <w:p w14:paraId="759B3566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13. Tárolás és biztonsági másolatok</w:t>
      </w:r>
    </w:p>
    <w:p w14:paraId="5E5C835D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[írja le, hogy az összegyűjtött adatokat hol, milyen formában tárolja majd; a legjobb gyakorlat az (anonimizált) adatok többszörös eltérő helyeken történő tárolása]</w:t>
      </w:r>
    </w:p>
    <w:p w14:paraId="1E2863A0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14. Szellemi tulajdon és adattulajdon</w:t>
      </w:r>
    </w:p>
    <w:p w14:paraId="0E82A6A1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[rögzítse, hogy ki rendelkezik az adatok, illetve az esetleges egyéb szellemi termékek, például kifejlesztett skálák tulajdonjogával]</w:t>
      </w:r>
    </w:p>
    <w:p w14:paraId="453F1620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15. Elérhetőség és megosztás</w:t>
      </w:r>
    </w:p>
    <w:p w14:paraId="2040A6D7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[írja le, hogy milyen formában, milyen körben és hol teszi elérhetővé a kutatás adatait]</w:t>
      </w:r>
    </w:p>
    <w:p w14:paraId="6B4D3815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b/>
          <w:bCs/>
        </w:rPr>
      </w:pPr>
      <w:r w:rsidRPr="00614005">
        <w:rPr>
          <w:rFonts w:ascii="Calibri" w:eastAsia="Calibri" w:hAnsi="Calibri" w:cs="Times New Roman"/>
          <w:b/>
          <w:bCs/>
        </w:rPr>
        <w:t>16. Adatkezelés költségei</w:t>
      </w:r>
    </w:p>
    <w:p w14:paraId="0C6D5D64" w14:textId="77777777" w:rsidR="00614005" w:rsidRPr="00614005" w:rsidRDefault="00614005" w:rsidP="00614005">
      <w:pPr>
        <w:spacing w:before="0" w:after="160" w:line="259" w:lineRule="auto"/>
        <w:jc w:val="left"/>
        <w:rPr>
          <w:rFonts w:ascii="Calibri" w:eastAsia="Calibri" w:hAnsi="Calibri" w:cs="Times New Roman"/>
          <w:i/>
          <w:iCs/>
        </w:rPr>
      </w:pPr>
      <w:r w:rsidRPr="00614005">
        <w:rPr>
          <w:rFonts w:ascii="Calibri" w:eastAsia="Calibri" w:hAnsi="Calibri" w:cs="Times New Roman"/>
          <w:i/>
          <w:iCs/>
        </w:rPr>
        <w:t>[foglalja össze röviden, hogy milyen forrásból fedezi az anonimizált adatok nyilvánossá tételének, illetve archiválásának költségeit]</w:t>
      </w:r>
    </w:p>
    <w:p w14:paraId="5AA47E33" w14:textId="77777777" w:rsidR="00D86BA9" w:rsidRDefault="00D86BA9"/>
    <w:sectPr w:rsidR="00D86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061BCF"/>
    <w:multiLevelType w:val="hybridMultilevel"/>
    <w:tmpl w:val="20B894DC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C55"/>
    <w:multiLevelType w:val="multilevel"/>
    <w:tmpl w:val="AD56534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98E671E"/>
    <w:multiLevelType w:val="hybridMultilevel"/>
    <w:tmpl w:val="98600A8A"/>
    <w:lvl w:ilvl="0" w:tplc="F0463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6649"/>
    <w:multiLevelType w:val="hybridMultilevel"/>
    <w:tmpl w:val="FA02C040"/>
    <w:lvl w:ilvl="0" w:tplc="4A26151A">
      <w:start w:val="2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Tahoma" w:hint="default"/>
        <w:b w:val="0"/>
        <w:i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266897">
    <w:abstractNumId w:val="2"/>
  </w:num>
  <w:num w:numId="2" w16cid:durableId="874385763">
    <w:abstractNumId w:val="0"/>
  </w:num>
  <w:num w:numId="3" w16cid:durableId="1238827704">
    <w:abstractNumId w:val="1"/>
  </w:num>
  <w:num w:numId="4" w16cid:durableId="867911708">
    <w:abstractNumId w:val="4"/>
  </w:num>
  <w:num w:numId="5" w16cid:durableId="1527593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05"/>
    <w:rsid w:val="0007315C"/>
    <w:rsid w:val="000C34D7"/>
    <w:rsid w:val="00226F22"/>
    <w:rsid w:val="002C0487"/>
    <w:rsid w:val="0050698C"/>
    <w:rsid w:val="00591864"/>
    <w:rsid w:val="00614005"/>
    <w:rsid w:val="00657EE2"/>
    <w:rsid w:val="006A2C76"/>
    <w:rsid w:val="00777A84"/>
    <w:rsid w:val="007A339A"/>
    <w:rsid w:val="00956CF0"/>
    <w:rsid w:val="00A66D61"/>
    <w:rsid w:val="00A8453E"/>
    <w:rsid w:val="00B0362B"/>
    <w:rsid w:val="00B10542"/>
    <w:rsid w:val="00B46981"/>
    <w:rsid w:val="00BF1D00"/>
    <w:rsid w:val="00C56CAE"/>
    <w:rsid w:val="00C72918"/>
    <w:rsid w:val="00D13FD2"/>
    <w:rsid w:val="00D86BA9"/>
    <w:rsid w:val="00E5758F"/>
    <w:rsid w:val="00ED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A744BF"/>
  <w15:docId w15:val="{4D562629-AB74-4606-BB70-9C19D1F7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40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autoRedefine/>
    <w:qFormat/>
    <w:rsid w:val="00ED1103"/>
    <w:pPr>
      <w:keepNext/>
      <w:numPr>
        <w:ilvl w:val="3"/>
        <w:numId w:val="1"/>
      </w:numPr>
      <w:tabs>
        <w:tab w:val="clear" w:pos="864"/>
        <w:tab w:val="num" w:pos="993"/>
      </w:tabs>
      <w:spacing w:before="240" w:after="60" w:line="360" w:lineRule="auto"/>
      <w:ind w:left="1857"/>
      <w:outlineLvl w:val="3"/>
    </w:pPr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ED1103"/>
    <w:rPr>
      <w:rFonts w:ascii="Times New Roman" w:eastAsia="Times New Roman" w:hAnsi="Times New Roman" w:cs="Times New Roman"/>
      <w:bCs/>
      <w:sz w:val="24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1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unhideWhenUsed/>
    <w:rsid w:val="000C34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C34D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C34D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34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34D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34D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34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46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Starkné Osvát Anna Mária</dc:creator>
  <cp:lastModifiedBy>X</cp:lastModifiedBy>
  <cp:revision>2</cp:revision>
  <dcterms:created xsi:type="dcterms:W3CDTF">2025-12-11T10:18:00Z</dcterms:created>
  <dcterms:modified xsi:type="dcterms:W3CDTF">2025-12-11T10:18:00Z</dcterms:modified>
</cp:coreProperties>
</file>